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1"/>
        <w:gridCol w:w="1126"/>
      </w:tblGrid>
      <w:tr w:rsidR="002D74D6" w:rsidRPr="00D40452" w:rsidTr="0033727A">
        <w:trPr>
          <w:trHeight w:val="268"/>
          <w:jc w:val="center"/>
        </w:trPr>
        <w:tc>
          <w:tcPr>
            <w:tcW w:w="1026" w:type="dxa"/>
            <w:vMerge w:val="restart"/>
            <w:vAlign w:val="center"/>
          </w:tcPr>
          <w:p w:rsidR="002D74D6" w:rsidRPr="0050404E" w:rsidRDefault="00B073E2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3C2B239" wp14:editId="5E433FD0">
                  <wp:extent cx="477520" cy="433070"/>
                  <wp:effectExtent l="0" t="0" r="0" b="5080"/>
                  <wp:docPr id="1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 Imagen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1" w:type="dxa"/>
            <w:vAlign w:val="center"/>
          </w:tcPr>
          <w:p w:rsidR="002D74D6" w:rsidRPr="0050404E" w:rsidRDefault="00B073E2" w:rsidP="0033727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26" w:type="dxa"/>
            <w:vAlign w:val="center"/>
          </w:tcPr>
          <w:p w:rsidR="002D74D6" w:rsidRPr="0050404E" w:rsidRDefault="002D74D6" w:rsidP="0033727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A7087B">
              <w:rPr>
                <w:sz w:val="16"/>
                <w:szCs w:val="16"/>
              </w:rPr>
              <w:t>77</w:t>
            </w:r>
            <w:bookmarkStart w:id="0" w:name="_GoBack"/>
            <w:bookmarkEnd w:id="0"/>
          </w:p>
        </w:tc>
      </w:tr>
      <w:tr w:rsidR="002D74D6" w:rsidRPr="00D40452" w:rsidTr="0033727A">
        <w:trPr>
          <w:trHeight w:val="263"/>
          <w:jc w:val="center"/>
        </w:trPr>
        <w:tc>
          <w:tcPr>
            <w:tcW w:w="1026" w:type="dxa"/>
            <w:vMerge/>
            <w:vAlign w:val="center"/>
          </w:tcPr>
          <w:p w:rsidR="002D74D6" w:rsidRPr="0050404E" w:rsidRDefault="002D74D6" w:rsidP="0033727A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71" w:type="dxa"/>
            <w:vMerge w:val="restart"/>
            <w:vAlign w:val="center"/>
          </w:tcPr>
          <w:p w:rsidR="002D74D6" w:rsidRDefault="002D74D6" w:rsidP="0033727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2D74D6" w:rsidRPr="00020F2F" w:rsidRDefault="002D74D6" w:rsidP="0033727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2009-2010</w:t>
            </w:r>
          </w:p>
        </w:tc>
        <w:tc>
          <w:tcPr>
            <w:tcW w:w="1126" w:type="dxa"/>
            <w:vAlign w:val="center"/>
          </w:tcPr>
          <w:p w:rsidR="002D74D6" w:rsidRPr="0050404E" w:rsidRDefault="00B073E2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2D74D6" w:rsidRPr="00D40452" w:rsidTr="0033727A">
        <w:trPr>
          <w:trHeight w:val="262"/>
          <w:jc w:val="center"/>
        </w:trPr>
        <w:tc>
          <w:tcPr>
            <w:tcW w:w="1026" w:type="dxa"/>
            <w:vMerge/>
            <w:vAlign w:val="center"/>
          </w:tcPr>
          <w:p w:rsidR="002D74D6" w:rsidRPr="0050404E" w:rsidRDefault="002D74D6" w:rsidP="0033727A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71" w:type="dxa"/>
            <w:vMerge/>
            <w:vAlign w:val="center"/>
          </w:tcPr>
          <w:p w:rsidR="002D74D6" w:rsidRDefault="002D74D6" w:rsidP="0033727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26" w:type="dxa"/>
            <w:vAlign w:val="center"/>
          </w:tcPr>
          <w:p w:rsidR="002D74D6" w:rsidRPr="0050404E" w:rsidRDefault="00B073E2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2D74D6" w:rsidRPr="00484E36" w:rsidRDefault="002D74D6" w:rsidP="002D74D6">
      <w:pPr>
        <w:jc w:val="center"/>
        <w:rPr>
          <w:rFonts w:ascii="Arial" w:hAnsi="Arial" w:cs="Arial"/>
          <w:b/>
          <w:sz w:val="22"/>
          <w:szCs w:val="22"/>
        </w:rPr>
      </w:pPr>
    </w:p>
    <w:p w:rsidR="002D74D6" w:rsidRDefault="002D74D6" w:rsidP="002D74D6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Música</w:t>
      </w:r>
      <w:proofErr w:type="spellEnd"/>
    </w:p>
    <w:p w:rsidR="002D74D6" w:rsidRPr="000172E3" w:rsidRDefault="002D74D6" w:rsidP="002D74D6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b/>
          <w:sz w:val="22"/>
          <w:szCs w:val="22"/>
        </w:rPr>
        <w:t>Quinto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</w:t>
      </w:r>
      <w:r w:rsidR="00BC2E32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</w:rPr>
        <w:t>Período</w:t>
      </w:r>
      <w:proofErr w:type="spellEnd"/>
      <w:r>
        <w:rPr>
          <w:rFonts w:ascii="Arial" w:hAnsi="Arial" w:cs="Arial"/>
          <w:b/>
          <w:sz w:val="22"/>
          <w:szCs w:val="22"/>
        </w:rPr>
        <w:t>: 1</w:t>
      </w:r>
    </w:p>
    <w:p w:rsidR="002D74D6" w:rsidRPr="00484E36" w:rsidRDefault="002D74D6" w:rsidP="002D74D6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 w:rsidR="00D81743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D81743">
        <w:rPr>
          <w:rFonts w:ascii="Arial" w:hAnsi="Arial" w:cs="Arial"/>
          <w:b/>
          <w:bCs/>
          <w:sz w:val="22"/>
          <w:szCs w:val="22"/>
          <w:lang w:val="es-ES"/>
        </w:rPr>
        <w:t>Exploracion</w:t>
      </w:r>
      <w:proofErr w:type="spellEnd"/>
      <w:r w:rsidR="00D81743">
        <w:rPr>
          <w:rFonts w:ascii="Arial" w:hAnsi="Arial" w:cs="Arial"/>
          <w:b/>
          <w:bCs/>
          <w:sz w:val="22"/>
          <w:szCs w:val="22"/>
          <w:lang w:val="es-ES"/>
        </w:rPr>
        <w:t xml:space="preserve"> de </w:t>
      </w:r>
      <w:proofErr w:type="spellStart"/>
      <w:r w:rsidR="00D81743">
        <w:rPr>
          <w:rFonts w:ascii="Arial" w:hAnsi="Arial" w:cs="Arial"/>
          <w:b/>
          <w:bCs/>
          <w:sz w:val="22"/>
          <w:szCs w:val="22"/>
          <w:lang w:val="es-ES"/>
        </w:rPr>
        <w:t>generos</w:t>
      </w:r>
      <w:proofErr w:type="spellEnd"/>
      <w:r w:rsidR="00D81743">
        <w:rPr>
          <w:rFonts w:ascii="Arial" w:hAnsi="Arial" w:cs="Arial"/>
          <w:b/>
          <w:bCs/>
          <w:sz w:val="22"/>
          <w:szCs w:val="22"/>
          <w:lang w:val="es-ES"/>
        </w:rPr>
        <w:t xml:space="preserve"> musicales</w:t>
      </w:r>
    </w:p>
    <w:p w:rsidR="002D74D6" w:rsidRPr="00484E36" w:rsidRDefault="002D74D6" w:rsidP="002D74D6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 w:rsidR="00D81743">
        <w:rPr>
          <w:rFonts w:ascii="Arial" w:hAnsi="Arial" w:cs="Arial"/>
          <w:b/>
          <w:bCs/>
          <w:sz w:val="22"/>
          <w:szCs w:val="22"/>
          <w:lang w:val="es-ES"/>
        </w:rPr>
        <w:t xml:space="preserve"> 1 bimestre</w:t>
      </w:r>
    </w:p>
    <w:p w:rsidR="002D74D6" w:rsidRPr="00484E36" w:rsidRDefault="002D74D6" w:rsidP="002D74D6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 w:rsidR="00D81743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Juan Carlos Ortiz</w:t>
      </w:r>
      <w:r w:rsidR="00D81743">
        <w:rPr>
          <w:rFonts w:ascii="Arial" w:hAnsi="Arial" w:cs="Arial"/>
          <w:b/>
          <w:bCs/>
          <w:sz w:val="22"/>
          <w:szCs w:val="22"/>
          <w:lang w:val="es-ES"/>
        </w:rPr>
        <w:t xml:space="preserve"> – Carlos </w:t>
      </w:r>
      <w:proofErr w:type="spellStart"/>
      <w:r w:rsidR="00D81743">
        <w:rPr>
          <w:rFonts w:ascii="Arial" w:hAnsi="Arial" w:cs="Arial"/>
          <w:b/>
          <w:bCs/>
          <w:sz w:val="22"/>
          <w:szCs w:val="22"/>
          <w:lang w:val="es-ES"/>
        </w:rPr>
        <w:t>Ramirez</w:t>
      </w:r>
      <w:proofErr w:type="spellEnd"/>
    </w:p>
    <w:p w:rsidR="002D74D6" w:rsidRPr="00484E36" w:rsidRDefault="002D74D6" w:rsidP="002D74D6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2D74D6" w:rsidRPr="00B073E2" w:rsidTr="0033727A">
        <w:trPr>
          <w:trHeight w:val="571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2D74D6" w:rsidRPr="009354AE" w:rsidRDefault="002D74D6" w:rsidP="0033727A">
            <w:pPr>
              <w:rPr>
                <w:rFonts w:ascii="Arial" w:hAnsi="Arial" w:cs="Arial"/>
                <w:bCs/>
                <w:lang w:val="es-ES"/>
              </w:rPr>
            </w:pPr>
            <w:r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D81743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en esta unidad, 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los estudiantes desarrollan destrezas y aportan conocimiento para nuevas manifestaciones y estilos musicales, utilizando todos los elementos vistos dentro del salón de clase y poniéndolos en práctica durante el semestre en curso.</w:t>
            </w:r>
          </w:p>
          <w:p w:rsidR="002D74D6" w:rsidRPr="009354AE" w:rsidRDefault="002D74D6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2D74D6" w:rsidRPr="00B073E2" w:rsidTr="0033727A">
        <w:trPr>
          <w:trHeight w:val="357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2D74D6" w:rsidRPr="009354AE" w:rsidRDefault="002D74D6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2D74D6" w:rsidRPr="00B073E2" w:rsidTr="0033727A">
        <w:trPr>
          <w:trHeight w:val="1336"/>
          <w:jc w:val="center"/>
        </w:trPr>
        <w:tc>
          <w:tcPr>
            <w:tcW w:w="10348" w:type="dxa"/>
            <w:gridSpan w:val="2"/>
            <w:vAlign w:val="center"/>
          </w:tcPr>
          <w:p w:rsidR="002D74D6" w:rsidRDefault="002D74D6" w:rsidP="0033727A">
            <w:pPr>
              <w:rPr>
                <w:rFonts w:ascii="Arial" w:hAnsi="Arial" w:cs="Arial"/>
                <w:b/>
                <w:lang w:val="es-CO"/>
              </w:rPr>
            </w:pPr>
            <w:r w:rsidRPr="00BF762F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D81743" w:rsidRPr="00D81743" w:rsidRDefault="00D81743" w:rsidP="0033727A">
            <w:pPr>
              <w:rPr>
                <w:rFonts w:ascii="Arial" w:hAnsi="Arial" w:cs="Arial"/>
                <w:lang w:val="es-CO"/>
              </w:rPr>
            </w:pPr>
            <w:r w:rsidRPr="00B073E2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PERCEPCIÓN ARTÍSTICA </w:t>
            </w:r>
            <w:r w:rsidRPr="00B073E2">
              <w:rPr>
                <w:rFonts w:ascii="Arial" w:eastAsiaTheme="minorHAnsi" w:hAnsi="Arial" w:cs="Arial"/>
                <w:bCs/>
                <w:lang w:val="es-CO" w:eastAsia="en-US"/>
              </w:rPr>
              <w:t>Procesa y responde a información sensorial a través del lenguaje musical.</w:t>
            </w:r>
          </w:p>
          <w:p w:rsidR="002D74D6" w:rsidRPr="00BF762F" w:rsidRDefault="002D74D6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2D74D6" w:rsidRPr="00B72754" w:rsidRDefault="002D74D6" w:rsidP="0033727A">
            <w:pPr>
              <w:tabs>
                <w:tab w:val="left" w:pos="8100"/>
                <w:tab w:val="left" w:pos="13500"/>
              </w:tabs>
              <w:rPr>
                <w:rFonts w:ascii="Arial" w:hAnsi="Arial" w:cs="Arial"/>
                <w:lang w:val="es-CO"/>
              </w:rPr>
            </w:pPr>
            <w:r>
              <w:rPr>
                <w:lang w:val="es-CO"/>
              </w:rPr>
              <w:t xml:space="preserve">5.1.1 </w:t>
            </w:r>
            <w:r w:rsidR="00D81743">
              <w:rPr>
                <w:lang w:val="es-CO"/>
              </w:rPr>
              <w:t xml:space="preserve">  </w:t>
            </w:r>
            <w:r>
              <w:rPr>
                <w:lang w:val="es-CO"/>
              </w:rPr>
              <w:t>R</w:t>
            </w:r>
            <w:r>
              <w:rPr>
                <w:rFonts w:ascii="Arial" w:hAnsi="Arial" w:cs="Arial"/>
                <w:lang w:val="es-CO"/>
              </w:rPr>
              <w:t>ealiza</w:t>
            </w:r>
            <w:r w:rsidRPr="00B72754">
              <w:rPr>
                <w:rFonts w:ascii="Arial" w:hAnsi="Arial" w:cs="Arial"/>
                <w:lang w:val="es-CO"/>
              </w:rPr>
              <w:t xml:space="preserve"> armon</w:t>
            </w:r>
            <w:r>
              <w:rPr>
                <w:rFonts w:ascii="Arial" w:hAnsi="Arial" w:cs="Arial"/>
                <w:lang w:val="es-CO"/>
              </w:rPr>
              <w:t xml:space="preserve">ía simple, melodías simples y </w:t>
            </w:r>
            <w:proofErr w:type="spellStart"/>
            <w:r>
              <w:rPr>
                <w:rFonts w:ascii="Arial" w:hAnsi="Arial" w:cs="Arial"/>
                <w:lang w:val="es-CO"/>
              </w:rPr>
              <w:t>rítmos</w:t>
            </w:r>
            <w:proofErr w:type="spellEnd"/>
            <w:r>
              <w:rPr>
                <w:rFonts w:ascii="Arial" w:hAnsi="Arial" w:cs="Arial"/>
                <w:lang w:val="es-CO"/>
              </w:rPr>
              <w:t xml:space="preserve"> con todas las figuras musicales </w:t>
            </w:r>
            <w:r w:rsidR="00D81743">
              <w:rPr>
                <w:rFonts w:ascii="Arial" w:hAnsi="Arial" w:cs="Arial"/>
                <w:lang w:val="es-CO"/>
              </w:rPr>
              <w:t xml:space="preserve">  </w:t>
            </w:r>
            <w:r>
              <w:rPr>
                <w:rFonts w:ascii="Arial" w:hAnsi="Arial" w:cs="Arial"/>
                <w:lang w:val="es-CO"/>
              </w:rPr>
              <w:t>binarias.</w:t>
            </w:r>
          </w:p>
          <w:p w:rsidR="002D74D6" w:rsidRPr="002B26B0" w:rsidRDefault="002D74D6" w:rsidP="0033727A">
            <w:pPr>
              <w:pStyle w:val="Encabezado"/>
              <w:tabs>
                <w:tab w:val="clear" w:pos="4680"/>
                <w:tab w:val="clear" w:pos="9360"/>
                <w:tab w:val="left" w:pos="8100"/>
              </w:tabs>
              <w:rPr>
                <w:rFonts w:ascii="Arial" w:hAnsi="Arial" w:cs="Arial"/>
                <w:lang w:val="es-CO"/>
              </w:rPr>
            </w:pPr>
          </w:p>
          <w:p w:rsidR="002D74D6" w:rsidRDefault="002D74D6" w:rsidP="002D74D6">
            <w:pPr>
              <w:numPr>
                <w:ilvl w:val="2"/>
                <w:numId w:val="2"/>
              </w:numPr>
              <w:tabs>
                <w:tab w:val="left" w:pos="8100"/>
                <w:tab w:val="left" w:pos="13500"/>
              </w:tabs>
              <w:rPr>
                <w:rFonts w:ascii="Arial" w:hAnsi="Arial" w:cs="Arial"/>
                <w:lang w:val="es-CO"/>
              </w:rPr>
            </w:pPr>
            <w:r w:rsidRPr="000D68B3">
              <w:rPr>
                <w:rFonts w:ascii="Arial" w:hAnsi="Arial" w:cs="Arial"/>
                <w:lang w:val="es-CO"/>
              </w:rPr>
              <w:t xml:space="preserve">Aporta auditivamente elementos </w:t>
            </w:r>
            <w:r>
              <w:rPr>
                <w:rFonts w:ascii="Arial" w:hAnsi="Arial" w:cs="Arial"/>
                <w:lang w:val="es-CO"/>
              </w:rPr>
              <w:t>sonoro</w:t>
            </w:r>
            <w:r w:rsidRPr="000D68B3">
              <w:rPr>
                <w:rFonts w:ascii="Arial" w:hAnsi="Arial" w:cs="Arial"/>
                <w:lang w:val="es-CO"/>
              </w:rPr>
              <w:t xml:space="preserve">s </w:t>
            </w:r>
            <w:r>
              <w:rPr>
                <w:rFonts w:ascii="Arial" w:hAnsi="Arial" w:cs="Arial"/>
                <w:lang w:val="es-CO"/>
              </w:rPr>
              <w:t>a su instrumento musical, reproduciendo e interpretando timbres y matices propios de su instrumento.</w:t>
            </w:r>
          </w:p>
          <w:p w:rsidR="002D74D6" w:rsidRPr="002B26B0" w:rsidRDefault="002D74D6" w:rsidP="0033727A">
            <w:pPr>
              <w:tabs>
                <w:tab w:val="left" w:pos="8100"/>
                <w:tab w:val="left" w:pos="13500"/>
              </w:tabs>
              <w:rPr>
                <w:lang w:val="es-CO"/>
              </w:rPr>
            </w:pPr>
          </w:p>
          <w:p w:rsidR="002D74D6" w:rsidRDefault="002D74D6" w:rsidP="0033727A">
            <w:pPr>
              <w:rPr>
                <w:rFonts w:ascii="Arial" w:hAnsi="Arial" w:cs="Arial"/>
                <w:b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del documento Guía para…</w:t>
            </w: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>).</w:t>
            </w:r>
          </w:p>
          <w:p w:rsidR="002D74D6" w:rsidRPr="0060085A" w:rsidRDefault="002D74D6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2D74D6" w:rsidRDefault="002D74D6" w:rsidP="002D74D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2D74D6" w:rsidRPr="000B58B7" w:rsidRDefault="002D74D6" w:rsidP="0033727A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:rsidR="002D74D6" w:rsidRDefault="002D74D6" w:rsidP="002D74D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evalúan su propio aprendizaje y crecimiento personal, basados en la reflexión y la auto-corrección. </w:t>
            </w:r>
          </w:p>
          <w:p w:rsidR="002D74D6" w:rsidRPr="000B58B7" w:rsidRDefault="002D74D6" w:rsidP="0033727A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:rsidR="002D74D6" w:rsidRPr="000B58B7" w:rsidRDefault="002D74D6" w:rsidP="002D74D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desarrollan la apreciación y conocimiento del arte, y se expresan a través de actividades artísticas.</w:t>
            </w:r>
          </w:p>
          <w:p w:rsidR="002D74D6" w:rsidRPr="0098431F" w:rsidRDefault="002D74D6" w:rsidP="0033727A">
            <w:pPr>
              <w:rPr>
                <w:rFonts w:ascii="Arial" w:hAnsi="Arial" w:cs="Arial"/>
                <w:lang w:val="es-CO"/>
              </w:rPr>
            </w:pPr>
          </w:p>
        </w:tc>
      </w:tr>
      <w:tr w:rsidR="002D74D6" w:rsidRPr="00B073E2" w:rsidTr="0033727A">
        <w:trPr>
          <w:jc w:val="center"/>
        </w:trPr>
        <w:tc>
          <w:tcPr>
            <w:tcW w:w="4849" w:type="dxa"/>
            <w:tcBorders>
              <w:bottom w:val="single" w:sz="4" w:space="0" w:color="auto"/>
            </w:tcBorders>
          </w:tcPr>
          <w:p w:rsidR="002D74D6" w:rsidRPr="009354AE" w:rsidRDefault="002D74D6" w:rsidP="0033727A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2D74D6" w:rsidRPr="008F4EC6" w:rsidRDefault="00D81743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¿Como</w:t>
            </w:r>
            <w:r w:rsidR="002D74D6" w:rsidRPr="008F4EC6">
              <w:rPr>
                <w:rFonts w:ascii="Arial" w:hAnsi="Arial" w:cs="Arial"/>
                <w:sz w:val="22"/>
                <w:szCs w:val="22"/>
                <w:lang w:val="es-ES"/>
              </w:rPr>
              <w:t xml:space="preserve"> crear en tu instrumento una combinación de </w:t>
            </w:r>
            <w:proofErr w:type="spellStart"/>
            <w:r w:rsidR="002D74D6" w:rsidRPr="008F4EC6">
              <w:rPr>
                <w:rFonts w:ascii="Arial" w:hAnsi="Arial" w:cs="Arial"/>
                <w:sz w:val="22"/>
                <w:szCs w:val="22"/>
                <w:lang w:val="es-ES"/>
              </w:rPr>
              <w:t>rítmos</w:t>
            </w:r>
            <w:proofErr w:type="spellEnd"/>
            <w:r w:rsidR="002D74D6" w:rsidRPr="008F4EC6">
              <w:rPr>
                <w:rFonts w:ascii="Arial" w:hAnsi="Arial" w:cs="Arial"/>
                <w:sz w:val="22"/>
                <w:szCs w:val="22"/>
                <w:lang w:val="es-ES"/>
              </w:rPr>
              <w:t xml:space="preserve"> con figuras simples?</w:t>
            </w:r>
          </w:p>
          <w:p w:rsidR="002D74D6" w:rsidRPr="008F4EC6" w:rsidRDefault="002D74D6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D81743">
              <w:rPr>
                <w:rFonts w:ascii="Arial" w:hAnsi="Arial" w:cs="Arial"/>
                <w:sz w:val="22"/>
                <w:szCs w:val="22"/>
                <w:lang w:val="es-ES"/>
              </w:rPr>
              <w:t xml:space="preserve">¿Qué es un circulo </w:t>
            </w:r>
            <w:proofErr w:type="spellStart"/>
            <w:proofErr w:type="gramStart"/>
            <w:r w:rsidR="00D81743">
              <w:rPr>
                <w:rFonts w:ascii="Arial" w:hAnsi="Arial" w:cs="Arial"/>
                <w:sz w:val="22"/>
                <w:szCs w:val="22"/>
                <w:lang w:val="es-ES"/>
              </w:rPr>
              <w:t>armonico</w:t>
            </w:r>
            <w:proofErr w:type="spellEnd"/>
            <w:r w:rsidR="00D8174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  <w:r w:rsidRPr="008F4EC6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2D74D6" w:rsidRPr="009354AE" w:rsidRDefault="002D74D6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2D74D6" w:rsidRPr="009354AE" w:rsidRDefault="002D74D6" w:rsidP="0033727A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2D74D6" w:rsidRPr="008F4EC6" w:rsidRDefault="00D81743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F</w:t>
            </w:r>
            <w:r w:rsidR="002D74D6" w:rsidRPr="008F4EC6">
              <w:rPr>
                <w:rFonts w:ascii="Arial" w:hAnsi="Arial" w:cs="Arial"/>
                <w:sz w:val="22"/>
                <w:szCs w:val="22"/>
                <w:lang w:val="es-ES"/>
              </w:rPr>
              <w:t xml:space="preserve">iguras musicales,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Circulo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armonico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generos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musicales</w:t>
            </w:r>
            <w:r w:rsidR="002D74D6" w:rsidRPr="008F4EC6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2D74D6" w:rsidRPr="009354AE" w:rsidRDefault="002D74D6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2D74D6" w:rsidRPr="009354AE" w:rsidTr="0033727A">
        <w:trPr>
          <w:trHeight w:val="455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2D74D6" w:rsidRPr="009354AE" w:rsidRDefault="002D74D6" w:rsidP="0033727A">
            <w:pPr>
              <w:jc w:val="center"/>
              <w:rPr>
                <w:rFonts w:ascii="Arial" w:hAnsi="Arial" w:cs="Arial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2D74D6" w:rsidRPr="00723439" w:rsidTr="0033727A">
        <w:trPr>
          <w:jc w:val="center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D81743" w:rsidRDefault="002D74D6" w:rsidP="0033727A">
            <w:pPr>
              <w:rPr>
                <w:rFonts w:ascii="Arial" w:hAnsi="Arial" w:cs="Arial"/>
                <w:lang w:val="es-ES"/>
              </w:rPr>
            </w:pPr>
            <w:r w:rsidRPr="008F4EC6">
              <w:rPr>
                <w:rFonts w:ascii="Arial" w:hAnsi="Arial" w:cs="Arial"/>
                <w:sz w:val="22"/>
                <w:szCs w:val="22"/>
                <w:lang w:val="es-ES"/>
              </w:rPr>
              <w:t>La evaluación será completamente práctica, se tendrá en cuenta la capacidad de creación de cada uno de los estudiantes del aula, además la forma como utiliza los diferentes instrumentos a la hora de crear una composición musical</w:t>
            </w:r>
            <w:r w:rsidR="00D81743">
              <w:rPr>
                <w:rFonts w:ascii="Arial" w:hAnsi="Arial" w:cs="Arial"/>
                <w:sz w:val="22"/>
                <w:szCs w:val="22"/>
                <w:lang w:val="es-ES"/>
              </w:rPr>
              <w:t xml:space="preserve"> y su </w:t>
            </w:r>
            <w:proofErr w:type="spellStart"/>
            <w:r w:rsidR="00D81743">
              <w:rPr>
                <w:rFonts w:ascii="Arial" w:hAnsi="Arial" w:cs="Arial"/>
                <w:sz w:val="22"/>
                <w:szCs w:val="22"/>
                <w:lang w:val="es-ES"/>
              </w:rPr>
              <w:t>ejecucion</w:t>
            </w:r>
            <w:proofErr w:type="spellEnd"/>
          </w:p>
          <w:p w:rsidR="00D81743" w:rsidRDefault="00D81743" w:rsidP="0033727A">
            <w:pPr>
              <w:rPr>
                <w:rFonts w:ascii="Arial" w:hAnsi="Arial" w:cs="Arial"/>
                <w:lang w:val="es-ES"/>
              </w:rPr>
            </w:pPr>
          </w:p>
          <w:p w:rsidR="002D74D6" w:rsidRPr="009354AE" w:rsidRDefault="002D74D6" w:rsidP="0033727A">
            <w:pPr>
              <w:rPr>
                <w:rFonts w:ascii="Arial" w:hAnsi="Arial" w:cs="Arial"/>
                <w:b/>
                <w:lang w:val="es-ES"/>
              </w:rPr>
            </w:pPr>
            <w:r w:rsidRPr="008F4EC6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2D74D6" w:rsidRPr="009354AE" w:rsidTr="0033727A">
        <w:trPr>
          <w:trHeight w:val="407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2D74D6" w:rsidRPr="009354AE" w:rsidRDefault="002D74D6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</w:tc>
      </w:tr>
      <w:tr w:rsidR="002D74D6" w:rsidRPr="00B073E2" w:rsidTr="0033727A">
        <w:trPr>
          <w:trHeight w:val="407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2D74D6" w:rsidRPr="004241E5" w:rsidRDefault="002D74D6" w:rsidP="0033727A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Realizando trabajos grupales, los estudiantes mostrarán en vivo dentro del aula la capacidad de invención junto con el aprendizaje musical, que han desarrollado durante los años anteriores.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pondrán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en practica todo su conocimiento para la elaboración de pequeñas obras musicales creadas por ellos mismos.</w:t>
            </w:r>
          </w:p>
          <w:p w:rsidR="002D74D6" w:rsidRPr="009354AE" w:rsidRDefault="002D74D6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2D74D6" w:rsidRPr="009354AE" w:rsidTr="0033727A">
        <w:trPr>
          <w:trHeight w:val="490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2D74D6" w:rsidRPr="009354AE" w:rsidRDefault="002D74D6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2D74D6" w:rsidRPr="00B073E2" w:rsidTr="0033727A">
        <w:trPr>
          <w:trHeight w:val="490"/>
          <w:jc w:val="center"/>
        </w:trPr>
        <w:tc>
          <w:tcPr>
            <w:tcW w:w="10348" w:type="dxa"/>
            <w:gridSpan w:val="2"/>
            <w:vAlign w:val="center"/>
          </w:tcPr>
          <w:p w:rsidR="002D74D6" w:rsidRPr="008F4EC6" w:rsidRDefault="002D74D6" w:rsidP="0033727A">
            <w:pPr>
              <w:rPr>
                <w:rFonts w:ascii="Arial" w:hAnsi="Arial" w:cs="Arial"/>
                <w:lang w:val="es-ES"/>
              </w:rPr>
            </w:pPr>
            <w:r w:rsidRPr="008F4EC6">
              <w:rPr>
                <w:rFonts w:ascii="Arial" w:hAnsi="Arial" w:cs="Arial"/>
                <w:sz w:val="22"/>
                <w:szCs w:val="22"/>
                <w:lang w:val="es-ES"/>
              </w:rPr>
              <w:t xml:space="preserve">Salón de clase, grabadora,   tablero,  instrumentos musicales. </w:t>
            </w:r>
          </w:p>
        </w:tc>
      </w:tr>
    </w:tbl>
    <w:p w:rsidR="002D74D6" w:rsidRDefault="002D74D6" w:rsidP="002D74D6">
      <w:pPr>
        <w:rPr>
          <w:lang w:val="es-CO"/>
        </w:rPr>
      </w:pPr>
    </w:p>
    <w:p w:rsidR="00BB0E2E" w:rsidRDefault="00BC2E32" w:rsidP="00BC2E32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REFLEXIONES</w:t>
      </w:r>
    </w:p>
    <w:p w:rsidR="00BC2E32" w:rsidRDefault="00BC2E32" w:rsidP="00BC2E32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BC2E32" w:rsidRPr="00BC2E32" w:rsidRDefault="00BC2E32" w:rsidP="00BC2E32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este primer periodo se logro trabajar la creatividad, con la composición de ritmos hechos por los estudiantes. También se profundizo en las técnicas de ejecución y entonación musical poniendo en </w:t>
      </w:r>
      <w:proofErr w:type="gramStart"/>
      <w:r>
        <w:rPr>
          <w:rFonts w:ascii="Arial" w:hAnsi="Arial" w:cs="Arial"/>
          <w:sz w:val="22"/>
          <w:szCs w:val="22"/>
          <w:lang w:val="es-CO"/>
        </w:rPr>
        <w:t>practica</w:t>
      </w:r>
      <w:proofErr w:type="gramEnd"/>
      <w:r>
        <w:rPr>
          <w:rFonts w:ascii="Arial" w:hAnsi="Arial" w:cs="Arial"/>
          <w:sz w:val="22"/>
          <w:szCs w:val="22"/>
          <w:lang w:val="es-CO"/>
        </w:rPr>
        <w:t xml:space="preserve"> los conocimientos gramaticales que siempre estuvieron presentes para el desarrollo y evolución de la practica música.</w:t>
      </w:r>
    </w:p>
    <w:sectPr w:rsidR="00BC2E32" w:rsidRPr="00BC2E32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F0AB2"/>
    <w:multiLevelType w:val="multilevel"/>
    <w:tmpl w:val="5760765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74D6"/>
    <w:rsid w:val="002904E7"/>
    <w:rsid w:val="002D74D6"/>
    <w:rsid w:val="009B6316"/>
    <w:rsid w:val="00A7087B"/>
    <w:rsid w:val="00B073E2"/>
    <w:rsid w:val="00BB0E2E"/>
    <w:rsid w:val="00BC2E32"/>
    <w:rsid w:val="00D81743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nhideWhenUsed/>
    <w:rsid w:val="002D74D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2D74D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4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4D6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2357</Characters>
  <Application>Microsoft Office Word</Application>
  <DocSecurity>0</DocSecurity>
  <Lines>19</Lines>
  <Paragraphs>5</Paragraphs>
  <ScaleCrop>false</ScaleCrop>
  <Company>GI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4</cp:revision>
  <dcterms:created xsi:type="dcterms:W3CDTF">2010-10-14T13:41:00Z</dcterms:created>
  <dcterms:modified xsi:type="dcterms:W3CDTF">2011-02-28T14:49:00Z</dcterms:modified>
</cp:coreProperties>
</file>